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spacing w:lineRule="auto" w:line="360"/>
        <w:jc w:val="center"/>
        <w:rPr>
          <w:b/>
          <w:b/>
          <w:szCs w:val="24"/>
        </w:rPr>
      </w:pPr>
      <w:r>
        <w:rPr>
          <w:b/>
          <w:szCs w:val="24"/>
        </w:rPr>
        <w:t>ANEXO II</w:t>
      </w:r>
    </w:p>
    <w:p>
      <w:pPr>
        <w:pStyle w:val="Normal"/>
        <w:spacing w:lineRule="auto" w:line="240"/>
        <w:jc w:val="center"/>
        <w:rPr>
          <w:highlight w:val="none"/>
          <w:shd w:fill="auto" w:val="clear"/>
        </w:rPr>
      </w:pPr>
      <w:r>
        <w:rPr>
          <w:szCs w:val="24"/>
          <w:shd w:fill="auto" w:val="clear"/>
        </w:rPr>
        <w:t xml:space="preserve">EDITAL N. </w:t>
      </w:r>
      <w:r>
        <w:rPr>
          <w:szCs w:val="24"/>
          <w:shd w:fill="auto" w:val="clear"/>
        </w:rPr>
        <w:t>17</w:t>
      </w:r>
      <w:r>
        <w:rPr>
          <w:szCs w:val="24"/>
          <w:shd w:fill="auto" w:val="clear"/>
        </w:rPr>
        <w:t xml:space="preserve">/2024-PROPPG, </w:t>
      </w:r>
      <w:r>
        <w:rPr>
          <w:szCs w:val="24"/>
          <w:shd w:fill="auto" w:val="clear"/>
        </w:rPr>
        <w:t>10</w:t>
      </w:r>
      <w:r>
        <w:rPr>
          <w:szCs w:val="24"/>
          <w:shd w:fill="auto" w:val="clear"/>
        </w:rPr>
        <w:t xml:space="preserve"> </w:t>
      </w:r>
      <w:r>
        <w:rPr>
          <w:szCs w:val="24"/>
          <w:shd w:fill="auto" w:val="clear"/>
        </w:rPr>
        <w:t>de</w:t>
      </w:r>
      <w:r>
        <w:rPr>
          <w:szCs w:val="24"/>
          <w:shd w:fill="auto" w:val="clear"/>
        </w:rPr>
        <w:t xml:space="preserve"> </w:t>
      </w:r>
      <w:r>
        <w:rPr>
          <w:szCs w:val="24"/>
          <w:shd w:fill="auto" w:val="clear"/>
        </w:rPr>
        <w:t>julho</w:t>
      </w:r>
      <w:r>
        <w:rPr>
          <w:szCs w:val="24"/>
          <w:shd w:fill="auto" w:val="clear"/>
        </w:rPr>
        <w:t xml:space="preserve"> </w:t>
      </w:r>
      <w:r>
        <w:rPr>
          <w:szCs w:val="24"/>
          <w:shd w:fill="auto" w:val="clear"/>
        </w:rPr>
        <w:t>de</w:t>
      </w:r>
      <w:r>
        <w:rPr>
          <w:szCs w:val="24"/>
          <w:shd w:fill="auto" w:val="clear"/>
        </w:rPr>
        <w:t xml:space="preserve"> 2024</w:t>
      </w:r>
    </w:p>
    <w:p>
      <w:pPr>
        <w:pStyle w:val="Normal"/>
        <w:spacing w:lineRule="auto" w:line="240"/>
        <w:jc w:val="center"/>
        <w:rPr/>
      </w:pPr>
      <w:r>
        <w:rPr>
          <w:sz w:val="20"/>
        </w:rPr>
        <w:t>Chamada Pública para Seleção de candidatos(as) às vagas de estudantes não regulares, Semestre 2023/2, no Curso de Mestrado Acadêmico em Educação - Câmpus Goiânia</w:t>
      </w:r>
    </w:p>
    <w:p>
      <w:pPr>
        <w:pStyle w:val="Normal"/>
        <w:spacing w:lineRule="auto" w:line="360"/>
        <w:jc w:val="center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FORMULÁRIO DE JUSTIFICATIVA</w:t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</w:r>
    </w:p>
    <w:tbl>
      <w:tblPr>
        <w:tblStyle w:val="Tabelacomgrade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32"/>
        <w:gridCol w:w="5993"/>
      </w:tblGrid>
      <w:tr>
        <w:trPr/>
        <w:tc>
          <w:tcPr>
            <w:tcW w:w="303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5535" w:leader="none"/>
              </w:tabs>
              <w:spacing w:lineRule="auto" w:line="240" w:before="120" w:after="120"/>
              <w:jc w:val="left"/>
              <w:rPr>
                <w:bCs/>
                <w:szCs w:val="24"/>
              </w:rPr>
            </w:pPr>
            <w:r>
              <w:rPr>
                <w:rFonts w:eastAsia="Arial" w:cs="Arial"/>
                <w:bCs/>
                <w:kern w:val="0"/>
                <w:sz w:val="22"/>
                <w:szCs w:val="24"/>
                <w:lang w:val="pt-BR" w:eastAsia="pt-BR" w:bidi="ar-SA"/>
              </w:rPr>
              <w:t>Nome completo</w:t>
            </w:r>
          </w:p>
        </w:tc>
        <w:tc>
          <w:tcPr>
            <w:tcW w:w="599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5535" w:leader="none"/>
              </w:tabs>
              <w:spacing w:lineRule="auto" w:line="240" w:before="0" w:after="0"/>
              <w:jc w:val="left"/>
              <w:rPr>
                <w:szCs w:val="24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t-BR" w:eastAsia="pt-BR" w:bidi="ar-SA"/>
              </w:rPr>
            </w:r>
          </w:p>
        </w:tc>
      </w:tr>
      <w:tr>
        <w:trPr/>
        <w:tc>
          <w:tcPr>
            <w:tcW w:w="303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tabs>
                <w:tab w:val="clear" w:pos="720"/>
                <w:tab w:val="left" w:pos="5535" w:leader="none"/>
              </w:tabs>
              <w:spacing w:lineRule="auto" w:line="240" w:before="120" w:after="120"/>
              <w:jc w:val="left"/>
              <w:rPr>
                <w:b/>
                <w:b/>
                <w:szCs w:val="24"/>
              </w:rPr>
            </w:pPr>
            <w:r>
              <w:rPr>
                <w:rFonts w:eastAsia="Times New Roman" w:cs="Arial"/>
                <w:kern w:val="0"/>
                <w:sz w:val="22"/>
                <w:szCs w:val="24"/>
                <w:lang w:val="pt-BR" w:eastAsia="pt-BR" w:bidi="ar-SA"/>
              </w:rPr>
              <w:t>Disciplina que pretende cursar</w:t>
            </w:r>
          </w:p>
        </w:tc>
        <w:tc>
          <w:tcPr>
            <w:tcW w:w="5993" w:type="dxa"/>
            <w:tcBorders/>
            <w:vAlign w:val="center"/>
          </w:tcPr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color w:val="222222"/>
                <w:sz w:val="24"/>
                <w:szCs w:val="24"/>
                <w:shd w:fill="FFFFFF" w:val="clear"/>
                <w:lang w:bidi="ar-SA"/>
              </w:rPr>
            </w:pPr>
            <w:r>
              <w:rPr>
                <w:rFonts w:eastAsia="Arial" w:cs="Arial"/>
                <w:color w:val="222222"/>
                <w:kern w:val="0"/>
                <w:sz w:val="24"/>
                <w:szCs w:val="24"/>
                <w:shd w:fill="FFFFFF" w:val="clear"/>
                <w:lang w:val="pt-BR" w:eastAsia="pt-BR" w:bidi="ar-SA"/>
              </w:rPr>
              <w:t>(   ) Educação de Jovens e Adultos Trabalhadores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color w:val="222222"/>
                <w:sz w:val="24"/>
                <w:szCs w:val="24"/>
                <w:shd w:fill="FFFFFF" w:val="clear"/>
                <w:lang w:bidi="ar-SA"/>
              </w:rPr>
            </w:pPr>
            <w:r>
              <w:rPr>
                <w:rFonts w:eastAsia="Arial" w:cs="Arial"/>
                <w:color w:val="222222"/>
                <w:kern w:val="0"/>
                <w:sz w:val="22"/>
                <w:szCs w:val="22"/>
                <w:shd w:fill="FFFFFF" w:val="clear"/>
                <w:lang w:val="pt-BR" w:eastAsia="pt-B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color w:val="222222"/>
                <w:sz w:val="24"/>
                <w:szCs w:val="24"/>
                <w:shd w:fill="FFFFFF" w:val="clear"/>
                <w:lang w:bidi="ar-SA"/>
              </w:rPr>
            </w:pPr>
            <w:r>
              <w:rPr>
                <w:rFonts w:eastAsia="Arial" w:cs="Arial"/>
                <w:color w:val="222222"/>
                <w:kern w:val="0"/>
                <w:sz w:val="24"/>
                <w:szCs w:val="24"/>
                <w:shd w:fill="FFFFFF" w:val="clear"/>
                <w:lang w:val="pt-BR" w:eastAsia="pt-BR" w:bidi="ar-SA"/>
              </w:rPr>
              <w:t>(   ) Educação, cultura e linguagem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color w:val="222222"/>
                <w:sz w:val="24"/>
                <w:szCs w:val="24"/>
                <w:shd w:fill="FFFFFF" w:val="clear"/>
                <w:lang w:bidi="ar-SA"/>
              </w:rPr>
            </w:pPr>
            <w:r>
              <w:rPr>
                <w:rFonts w:eastAsia="Arial" w:cs="Arial"/>
                <w:color w:val="222222"/>
                <w:kern w:val="0"/>
                <w:sz w:val="22"/>
                <w:szCs w:val="22"/>
                <w:shd w:fill="FFFFFF" w:val="clear"/>
                <w:lang w:val="pt-BR" w:eastAsia="pt-B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color w:val="222222"/>
                <w:sz w:val="24"/>
                <w:szCs w:val="24"/>
                <w:shd w:fill="FFFFFF" w:val="clear"/>
                <w:lang w:bidi="ar-SA"/>
              </w:rPr>
            </w:pPr>
            <w:r>
              <w:rPr>
                <w:rFonts w:eastAsia="Arial" w:cs="Arial"/>
                <w:color w:val="222222"/>
                <w:kern w:val="0"/>
                <w:sz w:val="24"/>
                <w:szCs w:val="24"/>
                <w:shd w:fill="FFFFFF" w:val="clear"/>
                <w:lang w:val="pt-BR" w:eastAsia="pt-BR" w:bidi="ar-SA"/>
              </w:rPr>
              <w:t>(   ) Educação e tecnologias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color w:val="222222"/>
                <w:sz w:val="24"/>
                <w:szCs w:val="24"/>
                <w:shd w:fill="FFFFFF" w:val="clear"/>
                <w:lang w:bidi="ar-SA"/>
              </w:rPr>
            </w:pPr>
            <w:r>
              <w:rPr>
                <w:rFonts w:eastAsia="Arial" w:cs="Arial"/>
                <w:color w:val="222222"/>
                <w:kern w:val="0"/>
                <w:sz w:val="22"/>
                <w:szCs w:val="22"/>
                <w:shd w:fill="FFFFFF" w:val="clear"/>
                <w:lang w:val="pt-BR" w:eastAsia="pt-B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color w:val="222222"/>
                <w:sz w:val="24"/>
                <w:szCs w:val="24"/>
                <w:shd w:fill="FFFFFF" w:val="clear"/>
                <w:lang w:bidi="ar-SA"/>
              </w:rPr>
            </w:pPr>
            <w:r>
              <w:rPr>
                <w:rFonts w:eastAsia="Arial" w:cs="Arial"/>
                <w:color w:val="222222"/>
                <w:kern w:val="0"/>
                <w:sz w:val="24"/>
                <w:szCs w:val="24"/>
                <w:shd w:fill="FFFFFF" w:val="clear"/>
                <w:lang w:val="pt-BR" w:eastAsia="pt-BR" w:bidi="ar-SA"/>
              </w:rPr>
              <w:t>(   ) Formação, profissionalização e trabalho docente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color w:val="222222"/>
                <w:sz w:val="24"/>
                <w:szCs w:val="24"/>
                <w:shd w:fill="FFFFFF" w:val="clear"/>
                <w:lang w:bidi="ar-SA"/>
              </w:rPr>
            </w:pPr>
            <w:r>
              <w:rPr>
                <w:rFonts w:eastAsia="Arial" w:cs="Arial"/>
                <w:color w:val="222222"/>
                <w:kern w:val="0"/>
                <w:sz w:val="22"/>
                <w:szCs w:val="22"/>
                <w:shd w:fill="FFFFFF" w:val="clear"/>
                <w:lang w:val="pt-BR" w:eastAsia="pt-B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color w:val="222222"/>
                <w:sz w:val="24"/>
                <w:szCs w:val="24"/>
                <w:shd w:fill="FFFFFF" w:val="clear"/>
                <w:lang w:bidi="ar-SA"/>
              </w:rPr>
            </w:pPr>
            <w:r>
              <w:rPr>
                <w:rFonts w:eastAsia="Arial" w:cs="Arial"/>
                <w:color w:val="222222"/>
                <w:kern w:val="0"/>
                <w:sz w:val="24"/>
                <w:szCs w:val="24"/>
                <w:shd w:fill="FFFFFF" w:val="clear"/>
                <w:lang w:val="pt-BR" w:eastAsia="pt-BR" w:bidi="ar-SA"/>
              </w:rPr>
              <w:t>(   ) Fundamentos e Didática da Educação para Matemática</w:t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color w:val="222222"/>
                <w:sz w:val="24"/>
                <w:szCs w:val="24"/>
                <w:shd w:fill="FFFFFF" w:val="clear"/>
                <w:lang w:bidi="ar-SA"/>
              </w:rPr>
            </w:pPr>
            <w:r>
              <w:rPr>
                <w:rFonts w:eastAsia="Arial" w:cs="Arial"/>
                <w:color w:val="222222"/>
                <w:kern w:val="0"/>
                <w:sz w:val="22"/>
                <w:szCs w:val="22"/>
                <w:shd w:fill="FFFFFF" w:val="clear"/>
                <w:lang w:val="pt-BR" w:eastAsia="pt-BR" w:bidi="ar-SA"/>
              </w:rPr>
            </w:r>
          </w:p>
          <w:p>
            <w:pPr>
              <w:pStyle w:val="Normal"/>
              <w:widowControl/>
              <w:shd w:val="clear" w:color="auto" w:fill="FFFFFF"/>
              <w:spacing w:lineRule="auto" w:line="240" w:before="0" w:after="0"/>
              <w:jc w:val="left"/>
              <w:rPr>
                <w:color w:val="222222"/>
                <w:sz w:val="24"/>
                <w:szCs w:val="24"/>
                <w:shd w:fill="FFFFFF" w:val="clear"/>
                <w:lang w:bidi="ar-SA"/>
              </w:rPr>
            </w:pPr>
            <w:r>
              <w:rPr>
                <w:rFonts w:eastAsia="Arial" w:cs="Arial"/>
                <w:color w:val="222222"/>
                <w:kern w:val="0"/>
                <w:sz w:val="24"/>
                <w:szCs w:val="24"/>
                <w:shd w:fill="FFFFFF" w:val="clear"/>
                <w:lang w:val="pt-BR" w:eastAsia="pt-BR" w:bidi="ar-SA"/>
              </w:rPr>
              <w:t>(   ) Políticas e gestão da educação</w:t>
            </w:r>
          </w:p>
          <w:p>
            <w:pPr>
              <w:pStyle w:val="Normal"/>
              <w:widowControl/>
              <w:tabs>
                <w:tab w:val="clear" w:pos="720"/>
                <w:tab w:val="left" w:pos="5535" w:leader="none"/>
              </w:tabs>
              <w:spacing w:lineRule="auto" w:line="240" w:before="0" w:after="0"/>
              <w:jc w:val="left"/>
              <w:rPr>
                <w:szCs w:val="24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pt-BR" w:eastAsia="pt-BR" w:bidi="ar-SA"/>
              </w:rPr>
            </w:r>
          </w:p>
        </w:tc>
      </w:tr>
    </w:tbl>
    <w:p>
      <w:pPr>
        <w:pStyle w:val="Normal"/>
        <w:tabs>
          <w:tab w:val="clear" w:pos="720"/>
          <w:tab w:val="left" w:pos="5535" w:leader="none"/>
        </w:tabs>
        <w:rPr>
          <w:szCs w:val="24"/>
        </w:rPr>
      </w:pPr>
      <w:r>
        <w:rPr>
          <w:szCs w:val="24"/>
        </w:rPr>
      </w:r>
    </w:p>
    <w:p>
      <w:pPr>
        <w:pStyle w:val="Default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Escreva a justificativa, com atenção às indicações constantes no Edital.</w:t>
      </w:r>
    </w:p>
    <w:p>
      <w:pPr>
        <w:pStyle w:val="Default"/>
        <w:jc w:val="center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center"/>
        <w:rPr>
          <w:b/>
          <w:b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left" w:pos="2977" w:leader="none"/>
      </w:tabs>
      <w:ind w:left="2880" w:hanging="0"/>
      <w:rPr>
        <w:b/>
        <w:b/>
        <w:color w:val="323232"/>
        <w:sz w:val="16"/>
        <w:szCs w:val="18"/>
      </w:rPr>
    </w:pPr>
    <w:r>
      <w:drawing>
        <wp:anchor behindDoc="0" distT="0" distB="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margin">
            <wp:posOffset>-716915</wp:posOffset>
          </wp:positionV>
          <wp:extent cx="1457325" cy="39052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323232"/>
        <w:sz w:val="16"/>
        <w:szCs w:val="18"/>
      </w:rPr>
      <w:t>MINISTÉRIO DA EDUCAÇÃO</w:t>
    </w:r>
  </w:p>
  <w:p>
    <w:pPr>
      <w:pStyle w:val="Normal"/>
      <w:tabs>
        <w:tab w:val="clear" w:pos="720"/>
        <w:tab w:val="left" w:pos="2977" w:leader="none"/>
      </w:tabs>
      <w:ind w:left="2880" w:hanging="0"/>
      <w:rPr>
        <w:b/>
        <w:b/>
        <w:color w:val="323232"/>
        <w:sz w:val="16"/>
        <w:szCs w:val="18"/>
      </w:rPr>
    </w:pPr>
    <w:r>
      <w:rPr>
        <w:b/>
        <w:color w:val="323232"/>
        <w:sz w:val="16"/>
        <w:szCs w:val="18"/>
      </w:rPr>
      <w:t>SECRETARIA DE EDUCAÇÃO PROFISSIONAL E TECNOLÓGICA</w:t>
    </w:r>
  </w:p>
  <w:p>
    <w:pPr>
      <w:pStyle w:val="Normal"/>
      <w:tabs>
        <w:tab w:val="clear" w:pos="720"/>
        <w:tab w:val="left" w:pos="2977" w:leader="none"/>
      </w:tabs>
      <w:ind w:left="2880" w:hanging="0"/>
      <w:rPr>
        <w:b/>
        <w:b/>
        <w:color w:val="323232"/>
        <w:sz w:val="16"/>
        <w:szCs w:val="18"/>
      </w:rPr>
    </w:pPr>
    <w:r>
      <w:rPr>
        <w:b/>
        <w:color w:val="323232"/>
        <w:sz w:val="16"/>
        <w:szCs w:val="18"/>
      </w:rPr>
      <w:t>INSTITUTO FEDERAL DE EDUCAÇÃO, CIÊNCIA E TECNOLOGIA DE GOIÁS</w:t>
    </w:r>
  </w:p>
  <w:p>
    <w:pPr>
      <w:pStyle w:val="Normal"/>
      <w:tabs>
        <w:tab w:val="clear" w:pos="720"/>
        <w:tab w:val="left" w:pos="2977" w:leader="none"/>
      </w:tabs>
      <w:ind w:left="2880" w:hanging="0"/>
      <w:rPr>
        <w:b/>
        <w:b/>
        <w:color w:val="323232"/>
        <w:sz w:val="16"/>
        <w:szCs w:val="18"/>
      </w:rPr>
    </w:pPr>
    <w:r>
      <w:rPr>
        <w:b/>
        <w:color w:val="323232"/>
        <w:sz w:val="16"/>
        <w:szCs w:val="18"/>
      </w:rPr>
      <w:t>REITORIA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559c0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rsid w:val="004559c0"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559c0"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559c0"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559c0"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559c0"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559c0"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4559c0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559c0"/>
    <w:rPr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ef1f9a"/>
    <w:rPr>
      <w:b/>
      <w:bCs/>
      <w:sz w:val="20"/>
      <w:szCs w:val="20"/>
    </w:rPr>
  </w:style>
  <w:style w:type="character" w:styleId="Nfase">
    <w:name w:val="Ênfase"/>
    <w:basedOn w:val="DefaultParagraphFont"/>
    <w:uiPriority w:val="20"/>
    <w:qFormat/>
    <w:rsid w:val="00b20fc7"/>
    <w:rPr>
      <w:i/>
      <w:iCs/>
    </w:rPr>
  </w:style>
  <w:style w:type="character" w:styleId="LinkdaInternet">
    <w:name w:val="Link da Internet"/>
    <w:basedOn w:val="DefaultParagraphFont"/>
    <w:uiPriority w:val="99"/>
    <w:unhideWhenUsed/>
    <w:rsid w:val="00d651fa"/>
    <w:rPr>
      <w:color w:val="0000FF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d651fa"/>
    <w:rPr>
      <w:color w:val="605E5C"/>
      <w:shd w:fill="E1DFDD" w:val="clear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402f47"/>
    <w:rPr>
      <w:color w:val="800080" w:themeColor="followedHyperlink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434962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semiHidden/>
    <w:qFormat/>
    <w:rsid w:val="00873e9e"/>
    <w:rPr/>
  </w:style>
  <w:style w:type="character" w:styleId="RodapChar" w:customStyle="1">
    <w:name w:val="Rodapé Char"/>
    <w:basedOn w:val="DefaultParagraphFont"/>
    <w:uiPriority w:val="99"/>
    <w:semiHidden/>
    <w:qFormat/>
    <w:rsid w:val="00873e9e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rsid w:val="004559c0"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4559c0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4559c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ef1f9a"/>
    <w:pPr/>
    <w:rPr>
      <w:b/>
      <w:bCs/>
    </w:rPr>
  </w:style>
  <w:style w:type="paragraph" w:styleId="ListParagraph">
    <w:name w:val="List Paragraph"/>
    <w:basedOn w:val="Normal"/>
    <w:uiPriority w:val="1"/>
    <w:qFormat/>
    <w:rsid w:val="00d55588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dc09a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Arial"/>
      <w:color w:val="000000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434962"/>
    <w:pPr>
      <w:spacing w:lineRule="auto" w:line="24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873e9e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873e9e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559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559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559c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4559c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20fc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XaBZMxRuJPe+rx32S02rkGjbyRA==">AMUW2mVB/NOSzzQxfBvH95mihB1ay45/l+Dd/khDjOfQv1gsOnbAylZViM/SQFuFl47V1onln2rZ01ObVw5DcltEZyhxJgvs2K2HwwqKhOxsC5KwzM/PjOM=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LibreOffice/7.3.1.3$Windows_X86_64 LibreOffice_project/a69ca51ded25f3eefd52d7bf9a5fad8c90b87951</Application>
  <AppVersion>15.0000</AppVersion>
  <Pages>1</Pages>
  <Words>114</Words>
  <Characters>642</Characters>
  <CharactersWithSpaces>751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2024-07-10T13:32:00Z</dcterms:created>
  <dc:creator/>
  <dc:description/>
  <dc:language>pt-BR</dc:language>
  <cp:lastModifiedBy/>
  <dcterms:modified xsi:type="dcterms:W3CDTF">2024-07-10T15:04:37Z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